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542"/>
        <w:tblW w:w="15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945"/>
        <w:gridCol w:w="5826"/>
        <w:gridCol w:w="1187"/>
        <w:gridCol w:w="945"/>
        <w:gridCol w:w="5232"/>
        <w:gridCol w:w="1175"/>
        <w:gridCol w:w="571"/>
      </w:tblGrid>
      <w:tr w:rsidR="001F7C69" w:rsidRPr="003821B8" w:rsidTr="001F7C69">
        <w:trPr>
          <w:trHeight w:val="780"/>
        </w:trPr>
        <w:tc>
          <w:tcPr>
            <w:tcW w:w="7958" w:type="dxa"/>
            <w:gridSpan w:val="3"/>
            <w:shd w:val="clear" w:color="auto" w:fill="2A4E7E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</w:pPr>
            <w:r w:rsidRPr="003821B8"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  <w:t>ACTIF</w:t>
            </w:r>
          </w:p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>Richesses détenues à un instant donné par l’association</w:t>
            </w:r>
          </w:p>
        </w:tc>
        <w:tc>
          <w:tcPr>
            <w:tcW w:w="7352" w:type="dxa"/>
            <w:gridSpan w:val="3"/>
            <w:shd w:val="clear" w:color="auto" w:fill="2A4E7E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Bold" w:hAnsi="Circular Std Bold" w:cs="Circular Std Bold"/>
                <w:color w:val="FFFFFF" w:themeColor="background1"/>
              </w:rPr>
            </w:pPr>
            <w:r w:rsidRPr="003821B8"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  <w:t>PASSIF</w:t>
            </w:r>
          </w:p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>Origine des richesses de l’association (source</w:t>
            </w:r>
            <w:r>
              <w:rPr>
                <w:rFonts w:ascii="Circular Std Medium" w:hAnsi="Circular Std Medium" w:cs="Circular Std Medium"/>
                <w:color w:val="FFFFFF" w:themeColor="background1"/>
              </w:rPr>
              <w:t>s</w:t>
            </w: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 xml:space="preserve"> de financement)</w:t>
            </w:r>
          </w:p>
        </w:tc>
        <w:tc>
          <w:tcPr>
            <w:tcW w:w="571" w:type="dxa"/>
            <w:shd w:val="clear" w:color="auto" w:fill="2A4E7E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</w:p>
        </w:tc>
      </w:tr>
      <w:tr w:rsidR="001F7C69" w:rsidRPr="003821B8" w:rsidTr="001F7C69">
        <w:trPr>
          <w:trHeight w:val="312"/>
        </w:trPr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Classe</w:t>
            </w:r>
          </w:p>
        </w:tc>
        <w:tc>
          <w:tcPr>
            <w:tcW w:w="5826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Montant</w:t>
            </w: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Classe</w:t>
            </w: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Montant</w:t>
            </w:r>
          </w:p>
        </w:tc>
        <w:tc>
          <w:tcPr>
            <w:tcW w:w="571" w:type="dxa"/>
            <w:vMerge w:val="restart"/>
            <w:textDirection w:val="tbRl"/>
            <w:vAlign w:val="center"/>
          </w:tcPr>
          <w:p w:rsidR="001F7C69" w:rsidRPr="003821B8" w:rsidRDefault="001F7C69" w:rsidP="001F7C69">
            <w:pPr>
              <w:ind w:left="113" w:right="113"/>
              <w:jc w:val="center"/>
              <w:rPr>
                <w:rFonts w:ascii="Circular Std Medium" w:hAnsi="Circular Std Medium" w:cs="Circular Std Medium"/>
                <w:sz w:val="18"/>
                <w:szCs w:val="18"/>
              </w:rPr>
            </w:pPr>
            <w:r w:rsidRPr="003821B8">
              <w:rPr>
                <w:rFonts w:ascii="Circular Std Medium" w:hAnsi="Circular Std Medium" w:cs="Circular Std Medium"/>
                <w:sz w:val="18"/>
                <w:szCs w:val="18"/>
              </w:rPr>
              <w:t>Capitaux permanents (ressources durables</w:t>
            </w:r>
            <w:r>
              <w:rPr>
                <w:rFonts w:ascii="Circular Std Medium" w:hAnsi="Circular Std Medium" w:cs="Circular Std Medium"/>
                <w:sz w:val="18"/>
                <w:szCs w:val="18"/>
              </w:rPr>
              <w:t xml:space="preserve"> de l’association)</w:t>
            </w:r>
          </w:p>
        </w:tc>
      </w:tr>
      <w:tr w:rsidR="001F7C69" w:rsidRPr="003821B8" w:rsidTr="001F7C69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</w:t>
            </w:r>
          </w:p>
        </w:tc>
        <w:tc>
          <w:tcPr>
            <w:tcW w:w="5232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Capitaux propres</w:t>
            </w:r>
          </w:p>
        </w:tc>
        <w:tc>
          <w:tcPr>
            <w:tcW w:w="1175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Biens durables (&gt;1 an) propriété de l’association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10</w:t>
            </w:r>
          </w:p>
        </w:tc>
        <w:tc>
          <w:tcPr>
            <w:tcW w:w="5232" w:type="dxa"/>
            <w:vAlign w:val="center"/>
          </w:tcPr>
          <w:p w:rsidR="001F7C69" w:rsidRPr="00CF5147" w:rsidRDefault="001F7C69" w:rsidP="001F7C69">
            <w:pPr>
              <w:jc w:val="left"/>
              <w:rPr>
                <w:rFonts w:ascii="Circular Std Medium" w:hAnsi="Circular Std Medium" w:cs="Circular Std Medium"/>
                <w:sz w:val="20"/>
                <w:szCs w:val="20"/>
              </w:rPr>
            </w:pPr>
            <w:r w:rsidRPr="00CF5147">
              <w:rPr>
                <w:rFonts w:ascii="Circular Std Medium" w:hAnsi="Circular Std Medium" w:cs="Circular Std Medium"/>
                <w:sz w:val="20"/>
                <w:szCs w:val="20"/>
              </w:rPr>
              <w:t>Capital ou Fonds associatif (apport des fondateurs de l’association) et subventions non renouvelables</w:t>
            </w:r>
            <w:r>
              <w:rPr>
                <w:rFonts w:ascii="Circular Std Medium" w:hAnsi="Circular Std Medium" w:cs="Circular Std Medium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20</w:t>
            </w:r>
          </w:p>
        </w:tc>
        <w:tc>
          <w:tcPr>
            <w:tcW w:w="5826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incorporelles non amortissables (fonds de commerce, brevets, licences)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11</w:t>
            </w: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Report à nouveau (résultats antérieurs en réserve)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21</w:t>
            </w:r>
          </w:p>
        </w:tc>
        <w:tc>
          <w:tcPr>
            <w:tcW w:w="5826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corporelles amortissables (immobilier, mobilier)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12</w:t>
            </w: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Résultat du dernier exercice (positif ou négatif)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27</w:t>
            </w:r>
          </w:p>
        </w:tc>
        <w:tc>
          <w:tcPr>
            <w:tcW w:w="5826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financières (actions, obligations et cautions)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13</w:t>
            </w: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Subventions d’investissement renouvelables (accordées pour l’achat d’un bien dont le renouvellement sera assuré par le financeur)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28</w:t>
            </w:r>
          </w:p>
        </w:tc>
        <w:tc>
          <w:tcPr>
            <w:tcW w:w="5826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Amortissement des immobilisations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15</w:t>
            </w: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Provisions pour risques et charges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3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Stocks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16</w:t>
            </w: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Emprunts à moyen et long terme (EMLT &gt; 1 an)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Marchandises, matières premières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19</w:t>
            </w: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Fonds dédiés (ressources financières non encore utilisées : subventions, donations, legs)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261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4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Créances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4</w:t>
            </w:r>
          </w:p>
        </w:tc>
        <w:tc>
          <w:tcPr>
            <w:tcW w:w="5232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de tiers</w:t>
            </w:r>
          </w:p>
        </w:tc>
        <w:tc>
          <w:tcPr>
            <w:tcW w:w="1175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 w:val="restart"/>
            <w:textDirection w:val="tbRl"/>
            <w:vAlign w:val="center"/>
          </w:tcPr>
          <w:p w:rsidR="001F7C69" w:rsidRPr="00313491" w:rsidRDefault="001F7C69" w:rsidP="001F7C69">
            <w:pPr>
              <w:ind w:left="113" w:right="113"/>
              <w:jc w:val="center"/>
              <w:rPr>
                <w:rFonts w:ascii="Circular Std Medium" w:hAnsi="Circular Std Medium" w:cs="Circular Std Medium"/>
                <w:sz w:val="18"/>
                <w:szCs w:val="18"/>
              </w:rPr>
            </w:pPr>
            <w:r>
              <w:rPr>
                <w:rFonts w:ascii="Circular Std Medium" w:hAnsi="Circular Std Medium" w:cs="Circular Std Medium"/>
                <w:sz w:val="18"/>
                <w:szCs w:val="18"/>
              </w:rPr>
              <w:t>Capitaux temporaires</w:t>
            </w: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Pr="00CE1478" w:rsidRDefault="001F7C69" w:rsidP="001F7C69">
            <w:pPr>
              <w:jc w:val="left"/>
              <w:rPr>
                <w:rFonts w:ascii="Circular Std Medium" w:hAnsi="Circular Std Medium" w:cs="Circular Std Medium"/>
                <w:i/>
                <w:iCs/>
              </w:rPr>
            </w:pPr>
            <w:r w:rsidRPr="00CE1478">
              <w:rPr>
                <w:rFonts w:ascii="Circular Std Medium" w:hAnsi="Circular Std Medium" w:cs="Circular Std Medium"/>
                <w:i/>
                <w:iCs/>
              </w:rPr>
              <w:t>Personnes physiques ou morales qui doivent de l’argent à l’association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6E3236" w:rsidRDefault="001F7C69" w:rsidP="001F7C69">
            <w:pPr>
              <w:jc w:val="left"/>
              <w:rPr>
                <w:rFonts w:ascii="Circular Std Medium" w:hAnsi="Circular Std Medium" w:cs="Circular Std Medium"/>
                <w:i/>
                <w:iCs/>
              </w:rPr>
            </w:pPr>
            <w:r w:rsidRPr="006E3236">
              <w:rPr>
                <w:rFonts w:ascii="Circular Std Medium" w:hAnsi="Circular Std Medium" w:cs="Circular Std Medium"/>
                <w:i/>
                <w:iCs/>
              </w:rPr>
              <w:t>Personnes physiques ou morales à qui l’on doit de l’argent à court terme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261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5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financiers - Trésorerie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financières (découverts bancaires, emprunts)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Disponibilités bancaires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d’exploitation (fournisseurs)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épargne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diverses (sociales ou fiscales)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Caisse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945" w:type="dxa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SICAV (valeur mobilière de placement)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:rsidTr="001F7C69">
        <w:trPr>
          <w:trHeight w:val="420"/>
        </w:trPr>
        <w:tc>
          <w:tcPr>
            <w:tcW w:w="6771" w:type="dxa"/>
            <w:gridSpan w:val="2"/>
            <w:shd w:val="clear" w:color="auto" w:fill="8DB3E2" w:themeFill="text2" w:themeFillTint="66"/>
            <w:vAlign w:val="center"/>
          </w:tcPr>
          <w:p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Total Actif Bilan</w:t>
            </w:r>
          </w:p>
        </w:tc>
        <w:tc>
          <w:tcPr>
            <w:tcW w:w="1187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6177" w:type="dxa"/>
            <w:gridSpan w:val="2"/>
            <w:shd w:val="clear" w:color="auto" w:fill="8DB3E2" w:themeFill="text2" w:themeFillTint="66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Total Passif Bilan</w:t>
            </w:r>
          </w:p>
        </w:tc>
        <w:tc>
          <w:tcPr>
            <w:tcW w:w="1175" w:type="dxa"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</w:tbl>
    <w:p w:rsidR="002A156D" w:rsidRPr="00313491" w:rsidRDefault="003821B8" w:rsidP="001F7C69">
      <w:pPr>
        <w:spacing w:after="0"/>
        <w:jc w:val="center"/>
        <w:rPr>
          <w:rFonts w:ascii="Circular Std Medium" w:hAnsi="Circular Std Medium" w:cs="Circular Std Medium"/>
          <w:sz w:val="40"/>
          <w:szCs w:val="40"/>
        </w:rPr>
      </w:pPr>
      <w:r w:rsidRPr="003821B8">
        <w:rPr>
          <w:rFonts w:ascii="Circular Std Medium" w:hAnsi="Circular Std Medium" w:cs="Circular Std Medium"/>
          <w:sz w:val="40"/>
          <w:szCs w:val="40"/>
        </w:rPr>
        <w:t>Bilan financier</w:t>
      </w:r>
      <w:r w:rsidR="007465BE">
        <w:rPr>
          <w:rFonts w:ascii="Circular Std Medium" w:hAnsi="Circular Std Medium" w:cs="Circular Std Medium"/>
          <w:sz w:val="40"/>
          <w:szCs w:val="40"/>
        </w:rPr>
        <w:t xml:space="preserve"> simplifié</w:t>
      </w:r>
      <w:r w:rsidR="00893371">
        <w:rPr>
          <w:rFonts w:ascii="Circular Std Medium" w:hAnsi="Circular Std Medium" w:cs="Circular Std Medium"/>
          <w:sz w:val="40"/>
          <w:szCs w:val="40"/>
        </w:rPr>
        <w:t xml:space="preserve"> en date du : …/…/…</w:t>
      </w:r>
    </w:p>
    <w:sectPr w:rsidR="002A156D" w:rsidRPr="00313491" w:rsidSect="001F7C69">
      <w:pgSz w:w="16840" w:h="11900"/>
      <w:pgMar w:top="340" w:right="567" w:bottom="170" w:left="567" w:header="510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0B" w:rsidRDefault="00F97B0B" w:rsidP="001F7C69">
      <w:pPr>
        <w:spacing w:after="0" w:line="240" w:lineRule="auto"/>
      </w:pPr>
      <w:r>
        <w:separator/>
      </w:r>
    </w:p>
  </w:endnote>
  <w:endnote w:type="continuationSeparator" w:id="0">
    <w:p w:rsidR="00F97B0B" w:rsidRDefault="00F97B0B" w:rsidP="001F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Std Bold">
    <w:altName w:val="Arial Black"/>
    <w:panose1 w:val="00000000000000000000"/>
    <w:charset w:val="00"/>
    <w:family w:val="swiss"/>
    <w:notTrueType/>
    <w:pitch w:val="variable"/>
    <w:sig w:usb0="00000003" w:usb1="5000E47B" w:usb2="00000008" w:usb3="00000000" w:csb0="00000001" w:csb1="00000000"/>
  </w:font>
  <w:font w:name="Circular Std Medium">
    <w:altName w:val="Arial"/>
    <w:panose1 w:val="00000000000000000000"/>
    <w:charset w:val="00"/>
    <w:family w:val="swiss"/>
    <w:notTrueType/>
    <w:pitch w:val="variable"/>
    <w:sig w:usb0="00000003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0B" w:rsidRDefault="00F97B0B" w:rsidP="001F7C69">
      <w:pPr>
        <w:spacing w:after="0" w:line="240" w:lineRule="auto"/>
      </w:pPr>
      <w:r>
        <w:separator/>
      </w:r>
    </w:p>
  </w:footnote>
  <w:footnote w:type="continuationSeparator" w:id="0">
    <w:p w:rsidR="00F97B0B" w:rsidRDefault="00F97B0B" w:rsidP="001F7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156D"/>
    <w:rsid w:val="001F7C69"/>
    <w:rsid w:val="002A156D"/>
    <w:rsid w:val="00313491"/>
    <w:rsid w:val="003821B8"/>
    <w:rsid w:val="00395957"/>
    <w:rsid w:val="00414850"/>
    <w:rsid w:val="004C5AB2"/>
    <w:rsid w:val="006E3236"/>
    <w:rsid w:val="007465BE"/>
    <w:rsid w:val="00893371"/>
    <w:rsid w:val="00A620DA"/>
    <w:rsid w:val="00B8232F"/>
    <w:rsid w:val="00BC0DDE"/>
    <w:rsid w:val="00CE1478"/>
    <w:rsid w:val="00CF5147"/>
    <w:rsid w:val="00D431C3"/>
    <w:rsid w:val="00F97B0B"/>
    <w:rsid w:val="00FB209E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E"/>
  </w:style>
  <w:style w:type="paragraph" w:styleId="Titre1">
    <w:name w:val="heading 1"/>
    <w:basedOn w:val="Normal"/>
    <w:next w:val="Normal"/>
    <w:uiPriority w:val="9"/>
    <w:qFormat/>
    <w:rsid w:val="00FB209E"/>
    <w:pPr>
      <w:keepNext/>
      <w:keepLines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FB209E"/>
    <w:pPr>
      <w:keepNext/>
      <w:keepLines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FB209E"/>
    <w:pPr>
      <w:keepNext/>
      <w:keepLines/>
      <w:outlineLvl w:val="2"/>
    </w:pPr>
    <w:rPr>
      <w:color w:val="1F3863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FB209E"/>
    <w:pPr>
      <w:keepNext/>
      <w:keepLines/>
      <w:outlineLvl w:val="3"/>
    </w:pPr>
    <w:rPr>
      <w:i/>
      <w:color w:val="2F5496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FB209E"/>
    <w:pPr>
      <w:keepNext/>
      <w:keepLines/>
      <w:spacing w:before="40" w:after="0"/>
      <w:outlineLvl w:val="4"/>
    </w:pPr>
    <w:rPr>
      <w:color w:val="2F549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FB20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FB20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FB209E"/>
    <w:pPr>
      <w:spacing w:after="0" w:line="36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rsid w:val="00FB20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38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C69"/>
  </w:style>
  <w:style w:type="paragraph" w:styleId="Pieddepage">
    <w:name w:val="footer"/>
    <w:basedOn w:val="Normal"/>
    <w:link w:val="PieddepageCar"/>
    <w:uiPriority w:val="99"/>
    <w:unhideWhenUsed/>
    <w:rsid w:val="001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C69"/>
  </w:style>
  <w:style w:type="paragraph" w:styleId="NormalWeb">
    <w:name w:val="Normal (Web)"/>
    <w:basedOn w:val="Normal"/>
    <w:uiPriority w:val="99"/>
    <w:unhideWhenUsed/>
    <w:rsid w:val="001F7C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LHOFER</cp:lastModifiedBy>
  <cp:revision>11</cp:revision>
  <dcterms:created xsi:type="dcterms:W3CDTF">2020-11-04T20:13:00Z</dcterms:created>
  <dcterms:modified xsi:type="dcterms:W3CDTF">2021-06-18T13:39:00Z</dcterms:modified>
</cp:coreProperties>
</file>